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233</w:t>
      </w:r>
    </w:p>
    <w:p>
      <w:r>
        <w:t>Bundesgericht (BGE), 2016-04-22, DE</w:t>
      </w:r>
    </w:p>
    <w:p>
      <w:r>
        <w:rPr>
          <w:b/>
        </w:rPr>
        <w:t xml:space="preserve">Quelle: </w:t>
      </w:r>
      <w:r>
        <w:t>https://mcp.opencaselaw.ch/entscheid/bge_142 V 233</w:t>
      </w:r>
    </w:p>
    <w:p>
      <w:r>
        <w:t>FR: ATF 142 V 233</w:t>
      </w:r>
    </w:p>
    <w:p>
      <w:r>
        <w:t>IT: DTF 142 V 233</w:t>
      </w:r>
    </w:p>
    <w:p>
      <w:pPr>
        <w:pStyle w:val="Heading2"/>
      </w:pPr>
      <w:r>
        <w:t>Regeste</w:t>
      </w:r>
    </w:p>
    <w:p>
      <w:r>
        <w:t>Regeste Art. 20a Abs. 1 lit. a, Art. 49 Abs. 2 Ziff. 3 BVG; Hinterlassenenleistungen der weitergehenden beruflichen Vorsorge; Todesfallkapital; Begünstigung des überlebenden Lebenspartners. Die in einem Testament verbalisierte Willenserklärung, den Lebenspartner hinsichtlich der reglementarischen Hinterlassenenleistungen zu begünstigen, bedarf eines ausdrücklichen Hinweises auf die einschlägigen Reglementsbestimmungen oder wenigstens auf die berufliche Vorsorge. Letztwillige Verfügungen, mit denen - wie hier - die Lebenspartnerin des Versicherten (bloss) als Erbin eingesetzt wird, lassen nicht auf einen berufsvorsorgerechtlichen Begünstigungswillen schliessen, selbst dann nicht, wenn die Partnerin zur Alleinerbin bestimmt wird (E. 2.3).</w:t>
      </w:r>
    </w:p>
    <w:p>
      <w:pPr>
        <w:pStyle w:val="Heading2"/>
      </w:pPr>
      <w:r>
        <w:t>Erwägungen</w:t>
      </w:r>
    </w:p>
    <w:p>
      <w:r>
        <w:rPr>
          <w:b/>
        </w:rPr>
        <w:t>E. 1</w:t>
      </w:r>
    </w:p>
    <w:p>
      <w:r>
        <w:t>Anspruch auf das Todesfallkapital haben die Hinterlassenen des Verstorbenen - unabhängig vom Erbrecht -, sofern sie vom Verstorbenen schriftlich bezeichnet worden sind: a. der überlebende Ehegatte; b. bei dessen Fehlen: die waisenrentenberechtigten Kinder des Verstorbenen; c. bei deren Fehlen: der überlebende Lebenspartner, sofern er, unabhängig des Geschlechts, beim Tod der versicherten Person, mit ihr eine auf Dauer angelegte Lebensgemeinschaft führte und bereits während mindestens zwei Jahren im gemeinsamen Haushalt gelebt hat; d. bei dessen Fehlen: die vom Verstorbenen in erheblichem Masse unterstützten Personen; e. bei deren Fehlen: die nicht waisenrentenberechtigten Kinder des Verstorbenen.</w:t>
      </w:r>
    </w:p>
    <w:p>
      <w:r>
        <w:rPr>
          <w:b/>
        </w:rPr>
        <w:t>E. 1.1</w:t>
      </w:r>
    </w:p>
    <w:p>
      <w:r>
        <w:t>Nach Art. 20a Abs. 1 BVG kann die Vorsorgeeinrichtung in ihrem Reglement neben den Anspruchsberechtigten nach den Art. 19 (überlebender Ehegatte), 19a (eingetragene Partnerinnen oder Partner)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sowie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137 V 383 E. 3.2 S. 388; BGE 136 V 49 E. 3.2 S. 51, BGE 136 V 127 E. 4.4 S. 130; BGE 134 V 369 E. 6.3.1.2 S. 378; je mit Hinweisen auf die Lehre). BGE 142 V 233 S. 236</w:t>
      </w:r>
    </w:p>
    <w:p>
      <w:r>
        <w:rPr>
          <w:b/>
        </w:rPr>
        <w:t>E. 1.2</w:t>
      </w:r>
    </w:p>
    <w:p>
      <w:r>
        <w:t>Unter dem Titel "Todesfallkapital" finden sich im seit 1. Januar 2014 geltenden Vorsorgereglement der Pensionskasse folgende Bestimmungen: "Art. 42 Grundsatz Stirbt eine aktive versicherte Person, ohne dass Anspruch auf eine Ehegattenrente (Art. 36) oder auf eine Lebenspartnerrente (Art. 37) entsteht, so wird ein Todesfallkapital fällig. Art. 43 Anspruchsberechtigte</w:t>
      </w:r>
    </w:p>
    <w:p>
      <w:r>
        <w:rPr>
          <w:b/>
        </w:rPr>
        <w:t>E. 2</w:t>
      </w:r>
    </w:p>
    <w:p>
      <w:r>
        <w:t>Die Anspruchsberechtigten müssen ihren Anspruch spätestens sechs Monate nach dem Tod der versicherten Person gegenüber der Kasse geltend machen, indem sie der Kasse ihre schriftliche Bezeichnung durch den Verstorbenen einreichen.</w:t>
      </w:r>
    </w:p>
    <w:p>
      <w:r>
        <w:rPr>
          <w:b/>
        </w:rPr>
        <w:t>E. 2.1</w:t>
      </w:r>
    </w:p>
    <w:p>
      <w:r>
        <w:t>Die - im vorliegenden Fall klageweise nicht geltend gemachte - Lebenspartnerrente gemäss Art. 37 Vorsorgereglement setzt u.a. eine von der versicherten Person zu Lebzeiten der Pensionskasse BGE 142 V 233 S. 237 eingereichte Begünstigungserklärung voraus, d.h. die schriftliche Meldung über eine bestehende Lebenspartnerschaft und die Bezeichnung der andern daran beteiligten Person als Anspruchsberechtigte/r (Abs. 1 und 3 der genannten Reglementsbestimmung). Beim hier interessierenden Todesfallkapital kann demgegenüber die Begünstigungserklärung des Verstorbenen zugunsten der überlebenden Lebenspartnerin (das Reglement spricht ebenfalls von deren "schriftliche[r] Bezeichnung" [als Anspruchsberechtigte]) der Pensionskasse auch noch innert sechs Monaten nach dem Tod der versicherten Person eingereicht werden (Art. 43 Abs. 1 Ingress und lit. c, Abs. 2 Vorsorgereglement). Das Bundesgericht hat beide Varianten reglementarisch verlangter Begünstigungserklärungen für zulässig erklärt; sie bilden nicht blosse Beweisvorschriften mit Ordnungscharakter, sondern mit Art. 20a BVG vereinbare formelle Anspruchserfordernisse mit konstitutiver Wirkung ( BGE 140 V 50 E. 3.3.2 S. 54; BGE 137 V 105 E. 8 S. 111; BGE 136 V 127 ; SVR 2015 BVG Nr. 16 S. 63, 9C_345/ 2014 E. 3.3.2 ; 2014 BVG Nr. 33 S. 123, 9C_339/2013 E. 2.2 ; 2009 BVG Nr. 18 S. 65, 9C_710/2007 E. 5.3 ; 2006 BVG Nr. 13 S. 47, B 92/04 E. 5.2; Urteil 9C_161/2014 vom 14. Juli 2014 E. 3.3).</w:t>
      </w:r>
    </w:p>
    <w:p>
      <w:r>
        <w:rPr>
          <w:b/>
        </w:rPr>
        <w:t>E. 2.2</w:t>
      </w:r>
    </w:p>
    <w:p>
      <w:r>
        <w:t>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 BGE 137 V 105 E. 8.2 in fine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(wie das hier im Streite liegende Todesfallkapital) eine neue Leistung dar. Sie wird ohne Beitragserhöhung finanziert. Die Vorsorgeeinrichtung hat daher ein schützenswertes Interesse zu wissen, wie viele Versicherte im Todesfall solche Leistungen auslösen können. Überdies möchte sie in BGE 142 V 233 S. 238 beweisrechtlicher Hinsicht grösstmögliche Klarheit in Bezug auf die Person des Begünstigten ( BGE 137 V 105 E. 9.4 S. 113; BGE 136 V 127 E. 4.5 S. 130; BGE 133 V 314 E. 4.2.3 S. 318; SVR 2015 BVG Nr. 17 S. 66, 9C_161/2014 E. 3.3; vgl. auch ESTHER AMSTUTZ, Die Begünstigtenordnung der beruflichen Vorsorge, 2014, S. 236 Rz. 635).</w:t>
      </w:r>
    </w:p>
    <w:p>
      <w:r>
        <w:rPr>
          <w:b/>
        </w:rPr>
        <w:t>E. 2.3</w:t>
      </w:r>
    </w:p>
    <w:p>
      <w:r>
        <w:t>Die Beschwerdeführerin beruft sich - soweit relevant - einzig auf die eigenhändige letztwillige Verfügung des Versicherten vom 31. Dezember 2013 (ohne Ortsangabe), mit welcher der Verstorbene seine Lebenspartnerin als Erbin des (gesamten) Nachlasses eingesetzt und zur Willensvollstreckerin ernannt hat. Ferner wurden seine Eltern "angehalten", auf ihre Pflichtteile zu verzichten. Die gesetzlichen ( Art. 18-20 BVG ) und reglementarischen (vgl. Art. 20a BVG ) Ansprüche der Hinterbliebenen aus beruflicher Vorsorge stehen nach der Rechtsprechung vollständig ausserhalb des Erbrechts: Weder fallen sie in den Nachlass noch unterliegen sie der erbrechtlichen Herabsetzung noch werden sie durch eine Ausschlagung der Erbschaft tangiert ( BGE 140 V 50 E. 3.1 S. 52; BGE 130 I 205 E. 8 S. 220; BGE 129 III 305 E. 2 S. 307; GUSTAVO SCARTAZZINI, in: BVG und FZG, 2010, N. 7 zu Art. 20a BVG ; HERMANN WALSER, Weitergehende berufliche Vorsorge, in: Soziale Sicherheit, SBVR Bd. XIV, 3. Aufl. 2016, S. 2198 Rz. 103). Trotz gänzlichem Fehlen eines erbrechtlichen Bezugs der berufsvorsorgerechtlichen Hinterlassenenleistungen kann eine entsprechende Begünstigungserklärung auch im Rahmen einer letztwilligen Verfügung erfolgen (vgl. Urteil 9C_3/ 2010 vom 31. März 2010 E. 3.2, nicht publ. in: BGE 136 V 127 , aber in: SVR 2010 BVG Nr. 44 S. 167; vgl. SVR 2006 BVG Nr. 13 S. 47, B 92/04 E. 5.2). Die in einem Testament verbalisierte Willenserklärung, den Lebenspartner hinsichtlich der reglementarischen Hinterlassenenleistungen zu begünstigen, bedarf indessen eines ausdrücklichen Hinweises auf die einschlägigen Reglementsbestimmungen oder wenigstens auf die berufliche Vorsorge (SVR 2006 BVG Nr. 13 S. 47, B 92/04 E. 5.2 und 5.3). Letztwillige Verfügungen, mit denen - wie hier - die Lebenspartnerin des Versicherten (bloss) als Erbin eingesetzt wird, lassen nicht auf einen berufsvorsorgerechtlichen Begünstigungswillen schliessen, selbst dann nicht, wenn die Partnerin zur Alleinerbin bestimmt wird (Konkretisierung der Rechtsprechung gemäss Urteil 9C_3/2010 vom 31. März 2010 E. 3.2, nicht publ. in: BGE 136 V 127 , aber in: SVR 2010 BVG Nr. 44 S. 167). (...)</w:t>
      </w:r>
    </w:p>
    <w:p>
      <w:r>
        <w:rPr>
          <w:b/>
        </w:rPr>
        <w:t>E. 3</w:t>
      </w:r>
    </w:p>
    <w:p>
      <w:r>
        <w:t>Fehlen Anspruchsberechtigte im Sinne von Abs. 1, so verfällt das Todesfallkapital der Kasse. Art. 44 Betrag des Todesfallkapitals Der Betrag des Todesfallkapitals entspricht einer einmaligen Abfindung in der Höhe eines beitragspflichtigen Jahreslohns." 2. Streitig und zu prüfen ist der Anspruch der Beschwerdeführerin auf das reglementarische Todesfallkapital. Während Pensionskasse und Vorinstanz eine Berechtigung auf diese weitergehende Hinterlassenenleistung mangels einer schriftlichen Begünstigungserklärung verneinen, erblickt die Beschwerdeführerin im Testament ihres Lebenspartners eine hinreichende derartige Erklärung.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